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1DE" w:rsidRDefault="001851DE" w:rsidP="00FC7E73">
      <w:pPr>
        <w:pStyle w:val="Default"/>
        <w:rPr>
          <w:sz w:val="18"/>
        </w:rPr>
      </w:pPr>
    </w:p>
    <w:p w:rsidR="00D13667" w:rsidRPr="00AD53D2" w:rsidRDefault="001851DE" w:rsidP="00FC7E73">
      <w:pPr>
        <w:pStyle w:val="Default"/>
        <w:rPr>
          <w:sz w:val="20"/>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sidR="00C77BA4">
        <w:rPr>
          <w:sz w:val="20"/>
        </w:rPr>
        <w:t>July 5</w:t>
      </w:r>
      <w:r w:rsidRPr="00AD53D2">
        <w:rPr>
          <w:sz w:val="20"/>
        </w:rPr>
        <w:t>, 2019</w:t>
      </w:r>
    </w:p>
    <w:p w:rsidR="001851DE" w:rsidRPr="00AD53D2" w:rsidRDefault="001851DE" w:rsidP="00FC7E73">
      <w:pPr>
        <w:pStyle w:val="Default"/>
        <w:rPr>
          <w:sz w:val="20"/>
        </w:rPr>
      </w:pPr>
    </w:p>
    <w:p w:rsidR="00C77BA4" w:rsidRDefault="00C77BA4" w:rsidP="00FC7E73">
      <w:pPr>
        <w:pStyle w:val="Default"/>
        <w:rPr>
          <w:sz w:val="20"/>
        </w:rPr>
      </w:pPr>
    </w:p>
    <w:p w:rsidR="001851DE" w:rsidRDefault="00D038B8" w:rsidP="00FC7E73">
      <w:pPr>
        <w:pStyle w:val="Default"/>
        <w:rPr>
          <w:sz w:val="20"/>
        </w:rPr>
      </w:pPr>
      <w:r>
        <w:rPr>
          <w:sz w:val="20"/>
        </w:rPr>
        <w:t>Hello, t</w:t>
      </w:r>
      <w:r w:rsidR="00C77BA4">
        <w:rPr>
          <w:sz w:val="20"/>
        </w:rPr>
        <w:t xml:space="preserve">his is the first of what I intend to be a quarterly </w:t>
      </w:r>
      <w:r w:rsidR="007118D2">
        <w:rPr>
          <w:sz w:val="20"/>
        </w:rPr>
        <w:t>item</w:t>
      </w:r>
      <w:r w:rsidR="00C77BA4">
        <w:rPr>
          <w:sz w:val="20"/>
        </w:rPr>
        <w:t xml:space="preserve">. My intent to </w:t>
      </w:r>
      <w:r w:rsidR="00DD7AE3">
        <w:rPr>
          <w:sz w:val="20"/>
        </w:rPr>
        <w:t xml:space="preserve">communicate </w:t>
      </w:r>
      <w:r w:rsidR="00C77BA4">
        <w:rPr>
          <w:sz w:val="20"/>
        </w:rPr>
        <w:t>updated general market results and what appears to have been key reasons for that experience. Some of this infor</w:t>
      </w:r>
      <w:r w:rsidR="00DD7AE3">
        <w:rPr>
          <w:sz w:val="20"/>
        </w:rPr>
        <w:t xml:space="preserve">mation will be taken from </w:t>
      </w:r>
      <w:r w:rsidR="00C77BA4">
        <w:rPr>
          <w:sz w:val="20"/>
        </w:rPr>
        <w:t xml:space="preserve">market leaders that I follow. If </w:t>
      </w:r>
      <w:r w:rsidR="007118D2">
        <w:rPr>
          <w:sz w:val="20"/>
        </w:rPr>
        <w:t>it</w:t>
      </w:r>
      <w:r w:rsidR="00C77BA4">
        <w:rPr>
          <w:sz w:val="20"/>
        </w:rPr>
        <w:t xml:space="preserve"> is taken verbatim, I will note it as such. Secondly, if there are items in the news stream that may impact markets in the upcoming quarter, and lastly </w:t>
      </w:r>
      <w:proofErr w:type="gramStart"/>
      <w:r w:rsidR="00C77BA4">
        <w:rPr>
          <w:sz w:val="20"/>
        </w:rPr>
        <w:t>a financial services</w:t>
      </w:r>
      <w:proofErr w:type="gramEnd"/>
      <w:r w:rsidR="00C77BA4">
        <w:rPr>
          <w:sz w:val="20"/>
        </w:rPr>
        <w:t xml:space="preserve"> concept or product explained</w:t>
      </w:r>
      <w:r>
        <w:rPr>
          <w:sz w:val="20"/>
        </w:rPr>
        <w:t xml:space="preserve"> (to some degree)</w:t>
      </w:r>
      <w:r w:rsidR="00C77BA4">
        <w:rPr>
          <w:sz w:val="20"/>
        </w:rPr>
        <w:t xml:space="preserve">. </w:t>
      </w:r>
    </w:p>
    <w:p w:rsidR="00C77BA4" w:rsidRDefault="00C77BA4" w:rsidP="00FC7E73">
      <w:pPr>
        <w:pStyle w:val="Default"/>
        <w:rPr>
          <w:sz w:val="20"/>
        </w:rPr>
      </w:pPr>
    </w:p>
    <w:p w:rsidR="00C77BA4" w:rsidRDefault="00C77BA4" w:rsidP="00FC7E73">
      <w:pPr>
        <w:pStyle w:val="Default"/>
        <w:rPr>
          <w:sz w:val="20"/>
        </w:rPr>
      </w:pPr>
      <w:r>
        <w:rPr>
          <w:sz w:val="20"/>
        </w:rPr>
        <w:t>If you enjoy this, please let me know. If there is a topic or question you have about anything in this paper or in general, please let me know. Lastly if you don’t wish to receive this in the future please let me know and I will remove you from future distributions.</w:t>
      </w:r>
    </w:p>
    <w:p w:rsidR="00C77BA4" w:rsidRDefault="00C77BA4" w:rsidP="00FC7E73">
      <w:pPr>
        <w:pStyle w:val="Default"/>
        <w:rPr>
          <w:sz w:val="20"/>
        </w:rPr>
      </w:pPr>
    </w:p>
    <w:p w:rsidR="00C77BA4" w:rsidRDefault="00C77BA4" w:rsidP="00FC7E73">
      <w:pPr>
        <w:pStyle w:val="Default"/>
        <w:rPr>
          <w:sz w:val="20"/>
        </w:rPr>
      </w:pPr>
      <w:r>
        <w:rPr>
          <w:b/>
          <w:u w:val="single"/>
        </w:rPr>
        <w:t>MARKET RESULTS</w:t>
      </w:r>
      <w:r w:rsidR="00A53363">
        <w:rPr>
          <w:b/>
          <w:u w:val="single"/>
        </w:rPr>
        <w:t xml:space="preserve"> (see footnotes)</w:t>
      </w:r>
      <w:r w:rsidR="00532AD2">
        <w:rPr>
          <w:b/>
          <w:u w:val="single"/>
        </w:rPr>
        <w:t xml:space="preserve"> and OUTLOOK</w:t>
      </w:r>
    </w:p>
    <w:p w:rsidR="00A53363" w:rsidRPr="00A53363" w:rsidRDefault="00A53363" w:rsidP="00FC7E73">
      <w:pPr>
        <w:pStyle w:val="Default"/>
        <w:rPr>
          <w:b/>
          <w:sz w:val="20"/>
          <w:u w:val="single"/>
        </w:rPr>
      </w:pPr>
      <w:r w:rsidRPr="00A53363">
        <w:rPr>
          <w:sz w:val="20"/>
          <w:u w:val="single"/>
        </w:rPr>
        <w:tab/>
      </w:r>
      <w:r w:rsidRPr="00A53363">
        <w:rPr>
          <w:sz w:val="20"/>
          <w:u w:val="single"/>
        </w:rPr>
        <w:tab/>
      </w:r>
      <w:r w:rsidRPr="00A53363">
        <w:rPr>
          <w:sz w:val="20"/>
          <w:u w:val="single"/>
        </w:rPr>
        <w:tab/>
      </w:r>
      <w:r w:rsidRPr="00A53363">
        <w:rPr>
          <w:sz w:val="20"/>
          <w:u w:val="single"/>
        </w:rPr>
        <w:tab/>
      </w:r>
      <w:r w:rsidRPr="00A53363">
        <w:rPr>
          <w:sz w:val="20"/>
          <w:u w:val="single"/>
        </w:rPr>
        <w:tab/>
      </w:r>
      <w:r w:rsidRPr="00A53363">
        <w:rPr>
          <w:b/>
          <w:sz w:val="20"/>
          <w:u w:val="single"/>
        </w:rPr>
        <w:t>YTD</w:t>
      </w:r>
      <w:r>
        <w:rPr>
          <w:b/>
          <w:sz w:val="20"/>
          <w:u w:val="single"/>
        </w:rPr>
        <w:t xml:space="preserve"> (w/e 6/28/2019)</w:t>
      </w:r>
      <w:r w:rsidRPr="00A53363">
        <w:rPr>
          <w:b/>
          <w:sz w:val="20"/>
          <w:u w:val="single"/>
        </w:rPr>
        <w:tab/>
      </w:r>
      <w:r w:rsidRPr="00A53363">
        <w:rPr>
          <w:b/>
          <w:sz w:val="20"/>
          <w:u w:val="single"/>
        </w:rPr>
        <w:tab/>
        <w:t>1-Year</w:t>
      </w:r>
    </w:p>
    <w:p w:rsidR="00A53363" w:rsidRDefault="00A53363" w:rsidP="00FC7E73">
      <w:pPr>
        <w:pStyle w:val="Default"/>
        <w:rPr>
          <w:color w:val="auto"/>
          <w:sz w:val="20"/>
        </w:rPr>
      </w:pPr>
      <w:r>
        <w:rPr>
          <w:sz w:val="20"/>
        </w:rPr>
        <w:t>S&amp;P 500</w:t>
      </w:r>
      <w:r>
        <w:rPr>
          <w:sz w:val="20"/>
        </w:rPr>
        <w:tab/>
      </w:r>
      <w:r>
        <w:rPr>
          <w:sz w:val="20"/>
        </w:rPr>
        <w:tab/>
      </w:r>
      <w:r>
        <w:rPr>
          <w:sz w:val="20"/>
        </w:rPr>
        <w:tab/>
      </w:r>
      <w:r>
        <w:rPr>
          <w:sz w:val="20"/>
        </w:rPr>
        <w:tab/>
      </w:r>
      <w:r>
        <w:rPr>
          <w:color w:val="00B050"/>
          <w:sz w:val="20"/>
        </w:rPr>
        <w:t>18.5%</w:t>
      </w:r>
      <w:r>
        <w:rPr>
          <w:color w:val="00B050"/>
          <w:sz w:val="20"/>
        </w:rPr>
        <w:tab/>
      </w:r>
      <w:r>
        <w:rPr>
          <w:color w:val="00B050"/>
          <w:sz w:val="20"/>
        </w:rPr>
        <w:tab/>
      </w:r>
      <w:r>
        <w:rPr>
          <w:color w:val="00B050"/>
          <w:sz w:val="20"/>
        </w:rPr>
        <w:tab/>
      </w:r>
      <w:r>
        <w:rPr>
          <w:color w:val="00B050"/>
          <w:sz w:val="20"/>
        </w:rPr>
        <w:tab/>
        <w:t>10.5%</w:t>
      </w:r>
    </w:p>
    <w:p w:rsidR="00A53363" w:rsidRDefault="00A53363" w:rsidP="00FC7E73">
      <w:pPr>
        <w:pStyle w:val="Default"/>
        <w:rPr>
          <w:color w:val="auto"/>
          <w:sz w:val="20"/>
        </w:rPr>
      </w:pPr>
      <w:r>
        <w:rPr>
          <w:color w:val="auto"/>
          <w:sz w:val="20"/>
        </w:rPr>
        <w:t>DJIA</w:t>
      </w:r>
      <w:r>
        <w:rPr>
          <w:color w:val="auto"/>
          <w:sz w:val="20"/>
        </w:rPr>
        <w:tab/>
      </w:r>
      <w:r>
        <w:rPr>
          <w:color w:val="auto"/>
          <w:sz w:val="20"/>
        </w:rPr>
        <w:tab/>
      </w:r>
      <w:r>
        <w:rPr>
          <w:color w:val="auto"/>
          <w:sz w:val="20"/>
        </w:rPr>
        <w:tab/>
      </w:r>
      <w:r>
        <w:rPr>
          <w:color w:val="auto"/>
          <w:sz w:val="20"/>
        </w:rPr>
        <w:tab/>
      </w:r>
      <w:r>
        <w:rPr>
          <w:color w:val="auto"/>
          <w:sz w:val="20"/>
        </w:rPr>
        <w:tab/>
      </w:r>
      <w:r>
        <w:rPr>
          <w:color w:val="00B050"/>
          <w:sz w:val="20"/>
        </w:rPr>
        <w:t>15.4%</w:t>
      </w:r>
      <w:r>
        <w:rPr>
          <w:color w:val="00B050"/>
          <w:sz w:val="20"/>
        </w:rPr>
        <w:tab/>
      </w:r>
      <w:r>
        <w:rPr>
          <w:color w:val="00B050"/>
          <w:sz w:val="20"/>
        </w:rPr>
        <w:tab/>
      </w:r>
      <w:r>
        <w:rPr>
          <w:color w:val="00B050"/>
          <w:sz w:val="20"/>
        </w:rPr>
        <w:tab/>
      </w:r>
      <w:r>
        <w:rPr>
          <w:color w:val="00B050"/>
          <w:sz w:val="20"/>
        </w:rPr>
        <w:tab/>
        <w:t>12.5%</w:t>
      </w:r>
    </w:p>
    <w:p w:rsidR="00A53363" w:rsidRDefault="00A53363" w:rsidP="00FC7E73">
      <w:pPr>
        <w:pStyle w:val="Default"/>
        <w:rPr>
          <w:color w:val="00B050"/>
          <w:sz w:val="20"/>
        </w:rPr>
      </w:pPr>
      <w:r>
        <w:rPr>
          <w:color w:val="auto"/>
          <w:sz w:val="20"/>
        </w:rPr>
        <w:t>NASDAQ</w:t>
      </w:r>
      <w:r>
        <w:rPr>
          <w:color w:val="auto"/>
          <w:sz w:val="20"/>
        </w:rPr>
        <w:tab/>
      </w:r>
      <w:r>
        <w:rPr>
          <w:color w:val="auto"/>
          <w:sz w:val="20"/>
        </w:rPr>
        <w:tab/>
      </w:r>
      <w:r>
        <w:rPr>
          <w:color w:val="auto"/>
          <w:sz w:val="20"/>
        </w:rPr>
        <w:tab/>
      </w:r>
      <w:r>
        <w:rPr>
          <w:color w:val="auto"/>
          <w:sz w:val="20"/>
        </w:rPr>
        <w:tab/>
      </w:r>
      <w:r>
        <w:rPr>
          <w:color w:val="00B050"/>
          <w:sz w:val="20"/>
        </w:rPr>
        <w:t>21.3%</w:t>
      </w:r>
      <w:r>
        <w:rPr>
          <w:color w:val="00B050"/>
          <w:sz w:val="20"/>
        </w:rPr>
        <w:tab/>
      </w:r>
      <w:r>
        <w:rPr>
          <w:color w:val="00B050"/>
          <w:sz w:val="20"/>
        </w:rPr>
        <w:tab/>
      </w:r>
      <w:r>
        <w:rPr>
          <w:color w:val="00B050"/>
          <w:sz w:val="20"/>
        </w:rPr>
        <w:tab/>
      </w:r>
      <w:r>
        <w:rPr>
          <w:color w:val="00B050"/>
          <w:sz w:val="20"/>
        </w:rPr>
        <w:tab/>
        <w:t>7.9%</w:t>
      </w:r>
    </w:p>
    <w:p w:rsidR="00A53363" w:rsidRDefault="00A53363" w:rsidP="00FC7E73">
      <w:pPr>
        <w:pStyle w:val="Default"/>
        <w:rPr>
          <w:color w:val="auto"/>
          <w:sz w:val="20"/>
        </w:rPr>
      </w:pPr>
      <w:r>
        <w:rPr>
          <w:color w:val="auto"/>
          <w:sz w:val="20"/>
        </w:rPr>
        <w:t>Foreign Stocks</w:t>
      </w:r>
      <w:r>
        <w:rPr>
          <w:color w:val="auto"/>
          <w:sz w:val="20"/>
        </w:rPr>
        <w:tab/>
      </w:r>
      <w:r>
        <w:rPr>
          <w:color w:val="auto"/>
          <w:sz w:val="20"/>
        </w:rPr>
        <w:tab/>
      </w:r>
      <w:r>
        <w:rPr>
          <w:color w:val="auto"/>
          <w:sz w:val="20"/>
        </w:rPr>
        <w:tab/>
      </w:r>
      <w:r>
        <w:rPr>
          <w:color w:val="auto"/>
          <w:sz w:val="20"/>
        </w:rPr>
        <w:tab/>
      </w:r>
      <w:r>
        <w:rPr>
          <w:color w:val="00B050"/>
          <w:sz w:val="20"/>
        </w:rPr>
        <w:t>14.5%</w:t>
      </w:r>
      <w:r>
        <w:rPr>
          <w:color w:val="00B050"/>
          <w:sz w:val="20"/>
        </w:rPr>
        <w:tab/>
      </w:r>
      <w:r>
        <w:rPr>
          <w:color w:val="00B050"/>
          <w:sz w:val="20"/>
        </w:rPr>
        <w:tab/>
      </w:r>
      <w:r>
        <w:rPr>
          <w:color w:val="00B050"/>
          <w:sz w:val="20"/>
        </w:rPr>
        <w:tab/>
      </w:r>
      <w:r>
        <w:rPr>
          <w:color w:val="00B050"/>
          <w:sz w:val="20"/>
        </w:rPr>
        <w:tab/>
        <w:t>2.6%</w:t>
      </w:r>
    </w:p>
    <w:p w:rsidR="00A53363" w:rsidRDefault="00A53363" w:rsidP="00FC7E73">
      <w:pPr>
        <w:pStyle w:val="Default"/>
        <w:rPr>
          <w:color w:val="00B050"/>
          <w:sz w:val="20"/>
        </w:rPr>
      </w:pPr>
      <w:r>
        <w:rPr>
          <w:color w:val="auto"/>
          <w:sz w:val="20"/>
        </w:rPr>
        <w:t>Emerging Markets</w:t>
      </w:r>
      <w:r>
        <w:rPr>
          <w:color w:val="auto"/>
          <w:sz w:val="20"/>
        </w:rPr>
        <w:tab/>
      </w:r>
      <w:r>
        <w:rPr>
          <w:color w:val="auto"/>
          <w:sz w:val="20"/>
        </w:rPr>
        <w:tab/>
      </w:r>
      <w:r>
        <w:rPr>
          <w:color w:val="auto"/>
          <w:sz w:val="20"/>
        </w:rPr>
        <w:tab/>
      </w:r>
      <w:r>
        <w:rPr>
          <w:color w:val="00B050"/>
          <w:sz w:val="20"/>
        </w:rPr>
        <w:t>10.8%</w:t>
      </w:r>
      <w:r>
        <w:rPr>
          <w:color w:val="00B050"/>
          <w:sz w:val="20"/>
        </w:rPr>
        <w:tab/>
      </w:r>
      <w:r>
        <w:rPr>
          <w:color w:val="00B050"/>
          <w:sz w:val="20"/>
        </w:rPr>
        <w:tab/>
      </w:r>
      <w:r>
        <w:rPr>
          <w:color w:val="00B050"/>
          <w:sz w:val="20"/>
        </w:rPr>
        <w:tab/>
      </w:r>
      <w:r>
        <w:rPr>
          <w:color w:val="00B050"/>
          <w:sz w:val="20"/>
        </w:rPr>
        <w:tab/>
        <w:t>3.8%</w:t>
      </w:r>
    </w:p>
    <w:p w:rsidR="00A53363" w:rsidRDefault="00A53363" w:rsidP="00FC7E73">
      <w:pPr>
        <w:pStyle w:val="Default"/>
        <w:rPr>
          <w:color w:val="auto"/>
          <w:sz w:val="20"/>
        </w:rPr>
      </w:pPr>
      <w:r>
        <w:rPr>
          <w:color w:val="auto"/>
          <w:sz w:val="20"/>
        </w:rPr>
        <w:t>10-Yr Treasury</w:t>
      </w:r>
      <w:r>
        <w:rPr>
          <w:color w:val="auto"/>
          <w:sz w:val="20"/>
        </w:rPr>
        <w:tab/>
      </w:r>
      <w:r>
        <w:rPr>
          <w:color w:val="auto"/>
          <w:sz w:val="20"/>
        </w:rPr>
        <w:tab/>
      </w:r>
      <w:r>
        <w:rPr>
          <w:color w:val="auto"/>
          <w:sz w:val="20"/>
        </w:rPr>
        <w:tab/>
      </w:r>
      <w:r>
        <w:rPr>
          <w:color w:val="auto"/>
          <w:sz w:val="20"/>
        </w:rPr>
        <w:tab/>
      </w:r>
      <w:r>
        <w:rPr>
          <w:color w:val="00B050"/>
          <w:sz w:val="20"/>
        </w:rPr>
        <w:t>7.4%</w:t>
      </w:r>
      <w:r>
        <w:rPr>
          <w:color w:val="00B050"/>
          <w:sz w:val="20"/>
        </w:rPr>
        <w:tab/>
      </w:r>
      <w:r>
        <w:rPr>
          <w:color w:val="00B050"/>
          <w:sz w:val="20"/>
        </w:rPr>
        <w:tab/>
      </w:r>
      <w:r>
        <w:rPr>
          <w:color w:val="00B050"/>
          <w:sz w:val="20"/>
        </w:rPr>
        <w:tab/>
      </w:r>
      <w:r>
        <w:rPr>
          <w:color w:val="00B050"/>
          <w:sz w:val="20"/>
        </w:rPr>
        <w:tab/>
        <w:t>10.3%</w:t>
      </w:r>
    </w:p>
    <w:p w:rsidR="00A53363" w:rsidRDefault="00A53363" w:rsidP="00FC7E73">
      <w:pPr>
        <w:pStyle w:val="Default"/>
        <w:rPr>
          <w:color w:val="00B050"/>
          <w:sz w:val="20"/>
        </w:rPr>
      </w:pPr>
      <w:r>
        <w:rPr>
          <w:color w:val="auto"/>
          <w:sz w:val="20"/>
        </w:rPr>
        <w:t>US Bonds</w:t>
      </w:r>
      <w:r>
        <w:rPr>
          <w:color w:val="auto"/>
          <w:sz w:val="20"/>
        </w:rPr>
        <w:tab/>
      </w:r>
      <w:r>
        <w:rPr>
          <w:color w:val="auto"/>
          <w:sz w:val="20"/>
        </w:rPr>
        <w:tab/>
      </w:r>
      <w:r>
        <w:rPr>
          <w:color w:val="auto"/>
          <w:sz w:val="20"/>
        </w:rPr>
        <w:tab/>
      </w:r>
      <w:r>
        <w:rPr>
          <w:color w:val="auto"/>
          <w:sz w:val="20"/>
        </w:rPr>
        <w:tab/>
      </w:r>
      <w:r>
        <w:rPr>
          <w:color w:val="00B050"/>
          <w:sz w:val="20"/>
        </w:rPr>
        <w:t>6.1%</w:t>
      </w:r>
      <w:r>
        <w:rPr>
          <w:color w:val="00B050"/>
          <w:sz w:val="20"/>
        </w:rPr>
        <w:tab/>
      </w:r>
      <w:r>
        <w:rPr>
          <w:color w:val="00B050"/>
          <w:sz w:val="20"/>
        </w:rPr>
        <w:tab/>
      </w:r>
      <w:r>
        <w:rPr>
          <w:color w:val="00B050"/>
          <w:sz w:val="20"/>
        </w:rPr>
        <w:tab/>
      </w:r>
      <w:r>
        <w:rPr>
          <w:color w:val="00B050"/>
          <w:sz w:val="20"/>
        </w:rPr>
        <w:tab/>
        <w:t>7.9%</w:t>
      </w:r>
    </w:p>
    <w:p w:rsidR="00893B8F" w:rsidRDefault="00893B8F" w:rsidP="00FC7E73">
      <w:pPr>
        <w:pStyle w:val="Default"/>
        <w:rPr>
          <w:color w:val="auto"/>
          <w:sz w:val="20"/>
        </w:rPr>
      </w:pPr>
      <w:r w:rsidRPr="00893B8F">
        <w:rPr>
          <w:color w:val="auto"/>
          <w:sz w:val="20"/>
        </w:rPr>
        <w:t>Global Bonds</w:t>
      </w:r>
      <w:r>
        <w:rPr>
          <w:color w:val="auto"/>
          <w:sz w:val="20"/>
        </w:rPr>
        <w:tab/>
      </w:r>
      <w:r>
        <w:rPr>
          <w:color w:val="auto"/>
          <w:sz w:val="20"/>
        </w:rPr>
        <w:tab/>
      </w:r>
      <w:r>
        <w:rPr>
          <w:color w:val="auto"/>
          <w:sz w:val="20"/>
        </w:rPr>
        <w:tab/>
      </w:r>
      <w:r>
        <w:rPr>
          <w:color w:val="auto"/>
          <w:sz w:val="20"/>
        </w:rPr>
        <w:tab/>
      </w:r>
      <w:r>
        <w:rPr>
          <w:color w:val="00B050"/>
          <w:sz w:val="20"/>
        </w:rPr>
        <w:t>5.6%</w:t>
      </w:r>
      <w:r>
        <w:rPr>
          <w:color w:val="00B050"/>
          <w:sz w:val="20"/>
        </w:rPr>
        <w:tab/>
      </w:r>
      <w:r>
        <w:rPr>
          <w:color w:val="00B050"/>
          <w:sz w:val="20"/>
        </w:rPr>
        <w:tab/>
      </w:r>
      <w:r>
        <w:rPr>
          <w:color w:val="00B050"/>
          <w:sz w:val="20"/>
        </w:rPr>
        <w:tab/>
      </w:r>
      <w:r>
        <w:rPr>
          <w:color w:val="00B050"/>
          <w:sz w:val="20"/>
        </w:rPr>
        <w:tab/>
        <w:t>6.2%</w:t>
      </w:r>
    </w:p>
    <w:p w:rsidR="00893B8F" w:rsidRPr="00E40A15" w:rsidRDefault="00893B8F" w:rsidP="00FC7E73">
      <w:pPr>
        <w:pStyle w:val="Default"/>
        <w:rPr>
          <w:color w:val="auto"/>
          <w:sz w:val="20"/>
        </w:rPr>
      </w:pPr>
      <w:r>
        <w:rPr>
          <w:color w:val="auto"/>
          <w:sz w:val="20"/>
        </w:rPr>
        <w:t>Munis</w:t>
      </w:r>
      <w:r>
        <w:rPr>
          <w:color w:val="auto"/>
          <w:sz w:val="20"/>
        </w:rPr>
        <w:tab/>
      </w:r>
      <w:r>
        <w:rPr>
          <w:color w:val="auto"/>
          <w:sz w:val="20"/>
        </w:rPr>
        <w:tab/>
      </w:r>
      <w:r>
        <w:rPr>
          <w:color w:val="auto"/>
          <w:sz w:val="20"/>
        </w:rPr>
        <w:tab/>
      </w:r>
      <w:r>
        <w:rPr>
          <w:color w:val="auto"/>
          <w:sz w:val="20"/>
        </w:rPr>
        <w:tab/>
      </w:r>
      <w:r>
        <w:rPr>
          <w:color w:val="auto"/>
          <w:sz w:val="20"/>
        </w:rPr>
        <w:tab/>
      </w:r>
      <w:r w:rsidR="00E40A15">
        <w:rPr>
          <w:color w:val="00B050"/>
          <w:sz w:val="20"/>
        </w:rPr>
        <w:t>5.1%</w:t>
      </w:r>
      <w:r w:rsidR="00E40A15">
        <w:rPr>
          <w:color w:val="00B050"/>
          <w:sz w:val="20"/>
        </w:rPr>
        <w:tab/>
      </w:r>
      <w:r w:rsidR="00E40A15">
        <w:rPr>
          <w:color w:val="00B050"/>
          <w:sz w:val="20"/>
        </w:rPr>
        <w:tab/>
      </w:r>
      <w:r w:rsidR="00E40A15">
        <w:rPr>
          <w:color w:val="00B050"/>
          <w:sz w:val="20"/>
        </w:rPr>
        <w:tab/>
      </w:r>
      <w:r w:rsidR="00E40A15">
        <w:rPr>
          <w:color w:val="00B050"/>
          <w:sz w:val="20"/>
        </w:rPr>
        <w:tab/>
        <w:t>6.7%</w:t>
      </w:r>
    </w:p>
    <w:p w:rsidR="00A53363" w:rsidRDefault="00A53363" w:rsidP="00FC7E73">
      <w:pPr>
        <w:pStyle w:val="Default"/>
        <w:rPr>
          <w:color w:val="auto"/>
          <w:sz w:val="20"/>
        </w:rPr>
      </w:pPr>
      <w:r>
        <w:rPr>
          <w:color w:val="auto"/>
          <w:sz w:val="20"/>
        </w:rPr>
        <w:t>Fed Funds Target</w:t>
      </w:r>
      <w:r>
        <w:rPr>
          <w:color w:val="auto"/>
          <w:sz w:val="20"/>
        </w:rPr>
        <w:tab/>
      </w:r>
      <w:r>
        <w:rPr>
          <w:color w:val="auto"/>
          <w:sz w:val="20"/>
        </w:rPr>
        <w:tab/>
      </w:r>
      <w:r w:rsidR="00893B8F">
        <w:rPr>
          <w:color w:val="auto"/>
          <w:sz w:val="20"/>
        </w:rPr>
        <w:t>2.50%</w:t>
      </w:r>
      <w:r w:rsidR="00893B8F">
        <w:rPr>
          <w:color w:val="auto"/>
          <w:sz w:val="20"/>
        </w:rPr>
        <w:tab/>
      </w:r>
      <w:proofErr w:type="gramStart"/>
      <w:r w:rsidR="00893B8F">
        <w:rPr>
          <w:color w:val="auto"/>
          <w:sz w:val="20"/>
        </w:rPr>
        <w:t>As</w:t>
      </w:r>
      <w:proofErr w:type="gramEnd"/>
      <w:r w:rsidR="00893B8F">
        <w:rPr>
          <w:color w:val="auto"/>
          <w:sz w:val="20"/>
        </w:rPr>
        <w:t xml:space="preserve"> of 6/28/2019</w:t>
      </w:r>
    </w:p>
    <w:p w:rsidR="00893B8F" w:rsidRDefault="00893B8F" w:rsidP="00FC7E73">
      <w:pPr>
        <w:pStyle w:val="Default"/>
        <w:rPr>
          <w:color w:val="auto"/>
          <w:sz w:val="20"/>
        </w:rPr>
      </w:pPr>
      <w:r>
        <w:rPr>
          <w:color w:val="auto"/>
          <w:sz w:val="20"/>
        </w:rPr>
        <w:t>Inflation</w:t>
      </w:r>
      <w:r>
        <w:rPr>
          <w:color w:val="auto"/>
          <w:sz w:val="20"/>
        </w:rPr>
        <w:tab/>
      </w:r>
      <w:r>
        <w:rPr>
          <w:color w:val="auto"/>
          <w:sz w:val="20"/>
        </w:rPr>
        <w:tab/>
      </w:r>
      <w:r>
        <w:rPr>
          <w:color w:val="auto"/>
          <w:sz w:val="20"/>
        </w:rPr>
        <w:tab/>
      </w:r>
      <w:r>
        <w:rPr>
          <w:color w:val="auto"/>
          <w:sz w:val="20"/>
        </w:rPr>
        <w:tab/>
        <w:t>2.00%</w:t>
      </w:r>
      <w:r>
        <w:rPr>
          <w:color w:val="auto"/>
          <w:sz w:val="20"/>
        </w:rPr>
        <w:tab/>
      </w:r>
      <w:proofErr w:type="gramStart"/>
      <w:r>
        <w:rPr>
          <w:color w:val="auto"/>
          <w:sz w:val="20"/>
        </w:rPr>
        <w:t>As</w:t>
      </w:r>
      <w:proofErr w:type="gramEnd"/>
      <w:r>
        <w:rPr>
          <w:color w:val="auto"/>
          <w:sz w:val="20"/>
        </w:rPr>
        <w:t xml:space="preserve"> of 05/31/2019</w:t>
      </w:r>
    </w:p>
    <w:p w:rsidR="00893B8F" w:rsidRDefault="00893B8F" w:rsidP="00FC7E73">
      <w:pPr>
        <w:pStyle w:val="Default"/>
        <w:rPr>
          <w:color w:val="auto"/>
          <w:sz w:val="20"/>
        </w:rPr>
      </w:pPr>
      <w:r>
        <w:rPr>
          <w:color w:val="auto"/>
          <w:sz w:val="20"/>
        </w:rPr>
        <w:t>Unemployment</w:t>
      </w:r>
      <w:r>
        <w:rPr>
          <w:color w:val="auto"/>
          <w:sz w:val="20"/>
        </w:rPr>
        <w:tab/>
      </w:r>
      <w:r>
        <w:rPr>
          <w:color w:val="auto"/>
          <w:sz w:val="20"/>
        </w:rPr>
        <w:tab/>
      </w:r>
      <w:r>
        <w:rPr>
          <w:color w:val="auto"/>
          <w:sz w:val="20"/>
        </w:rPr>
        <w:tab/>
        <w:t>3.60%</w:t>
      </w:r>
      <w:r>
        <w:rPr>
          <w:color w:val="auto"/>
          <w:sz w:val="20"/>
        </w:rPr>
        <w:tab/>
      </w:r>
      <w:proofErr w:type="gramStart"/>
      <w:r>
        <w:rPr>
          <w:color w:val="auto"/>
          <w:sz w:val="20"/>
        </w:rPr>
        <w:t>As</w:t>
      </w:r>
      <w:proofErr w:type="gramEnd"/>
      <w:r>
        <w:rPr>
          <w:color w:val="auto"/>
          <w:sz w:val="20"/>
        </w:rPr>
        <w:t xml:space="preserve"> of 05/31/2019</w:t>
      </w:r>
    </w:p>
    <w:p w:rsidR="00893B8F" w:rsidRDefault="00893B8F" w:rsidP="00FC7E73">
      <w:pPr>
        <w:pStyle w:val="Default"/>
        <w:rPr>
          <w:color w:val="auto"/>
          <w:sz w:val="20"/>
        </w:rPr>
      </w:pPr>
      <w:r>
        <w:rPr>
          <w:color w:val="auto"/>
          <w:sz w:val="20"/>
        </w:rPr>
        <w:t>GDP</w:t>
      </w:r>
      <w:r>
        <w:rPr>
          <w:color w:val="auto"/>
          <w:sz w:val="20"/>
        </w:rPr>
        <w:tab/>
      </w:r>
      <w:r>
        <w:rPr>
          <w:color w:val="auto"/>
          <w:sz w:val="20"/>
        </w:rPr>
        <w:tab/>
      </w:r>
      <w:r>
        <w:rPr>
          <w:color w:val="auto"/>
          <w:sz w:val="20"/>
        </w:rPr>
        <w:tab/>
      </w:r>
      <w:r>
        <w:rPr>
          <w:color w:val="auto"/>
          <w:sz w:val="20"/>
        </w:rPr>
        <w:tab/>
        <w:t>3.10%</w:t>
      </w:r>
      <w:r>
        <w:rPr>
          <w:color w:val="auto"/>
          <w:sz w:val="20"/>
        </w:rPr>
        <w:tab/>
      </w:r>
      <w:proofErr w:type="gramStart"/>
      <w:r>
        <w:rPr>
          <w:color w:val="auto"/>
          <w:sz w:val="20"/>
        </w:rPr>
        <w:t>As</w:t>
      </w:r>
      <w:proofErr w:type="gramEnd"/>
      <w:r>
        <w:rPr>
          <w:color w:val="auto"/>
          <w:sz w:val="20"/>
        </w:rPr>
        <w:t xml:space="preserve"> of 03/29/2019</w:t>
      </w:r>
    </w:p>
    <w:p w:rsidR="00893B8F" w:rsidRDefault="00893B8F" w:rsidP="00FC7E73">
      <w:pPr>
        <w:pStyle w:val="Default"/>
        <w:rPr>
          <w:color w:val="auto"/>
          <w:sz w:val="20"/>
        </w:rPr>
      </w:pPr>
    </w:p>
    <w:p w:rsidR="00E40A15" w:rsidRDefault="00A7719B" w:rsidP="00FC7E73">
      <w:pPr>
        <w:pStyle w:val="Default"/>
        <w:rPr>
          <w:color w:val="auto"/>
          <w:sz w:val="20"/>
        </w:rPr>
      </w:pPr>
      <w:r w:rsidRPr="00A7719B">
        <w:rPr>
          <w:color w:val="auto"/>
          <w:sz w:val="20"/>
        </w:rPr>
        <w:t>The second quarter was a microcosm o</w:t>
      </w:r>
      <w:r>
        <w:rPr>
          <w:color w:val="auto"/>
          <w:sz w:val="20"/>
        </w:rPr>
        <w:t xml:space="preserve">f the previous three quarters. </w:t>
      </w:r>
      <w:r w:rsidRPr="00A7719B">
        <w:rPr>
          <w:color w:val="auto"/>
          <w:sz w:val="20"/>
        </w:rPr>
        <w:t>The quarter began with U.S. stocks trading hig</w:t>
      </w:r>
      <w:r>
        <w:rPr>
          <w:color w:val="auto"/>
          <w:sz w:val="20"/>
        </w:rPr>
        <w:t>her into unchartered territory.</w:t>
      </w:r>
      <w:r w:rsidRPr="00A7719B">
        <w:rPr>
          <w:color w:val="auto"/>
          <w:sz w:val="20"/>
        </w:rPr>
        <w:t xml:space="preserve"> The euphoria was short lived as expanded tariff conc</w:t>
      </w:r>
      <w:r>
        <w:rPr>
          <w:color w:val="auto"/>
          <w:sz w:val="20"/>
        </w:rPr>
        <w:t xml:space="preserve">erns took center stage in May. </w:t>
      </w:r>
      <w:r w:rsidRPr="00A7719B">
        <w:rPr>
          <w:color w:val="auto"/>
          <w:sz w:val="20"/>
        </w:rPr>
        <w:t>This resulted in a swift 6.5% stock correction.</w:t>
      </w:r>
      <w:r>
        <w:rPr>
          <w:color w:val="auto"/>
          <w:sz w:val="20"/>
        </w:rPr>
        <w:t xml:space="preserve"> </w:t>
      </w:r>
      <w:r w:rsidR="00E40A15" w:rsidRPr="00E40A15">
        <w:rPr>
          <w:color w:val="auto"/>
          <w:sz w:val="20"/>
        </w:rPr>
        <w:t>In June, the central banks c</w:t>
      </w:r>
      <w:r w:rsidR="00E40A15">
        <w:rPr>
          <w:color w:val="auto"/>
          <w:sz w:val="20"/>
        </w:rPr>
        <w:t>ame to the rescue. Facing</w:t>
      </w:r>
      <w:r w:rsidR="00E40A15" w:rsidRPr="00E40A15">
        <w:rPr>
          <w:color w:val="auto"/>
          <w:sz w:val="20"/>
        </w:rPr>
        <w:t xml:space="preserve"> weaker economic data, risks to the trade outlook</w:t>
      </w:r>
      <w:r>
        <w:rPr>
          <w:color w:val="auto"/>
          <w:sz w:val="20"/>
        </w:rPr>
        <w:t>,</w:t>
      </w:r>
      <w:r w:rsidR="00E40A15" w:rsidRPr="00E40A15">
        <w:rPr>
          <w:color w:val="auto"/>
          <w:sz w:val="20"/>
        </w:rPr>
        <w:t xml:space="preserve"> and still low inflation, the Federal Reserve (the Fed) and the Europ</w:t>
      </w:r>
      <w:r w:rsidR="00E40A15">
        <w:rPr>
          <w:color w:val="auto"/>
          <w:sz w:val="20"/>
        </w:rPr>
        <w:t>ean Central Bank (ECB) made statements</w:t>
      </w:r>
      <w:r w:rsidR="00E40A15" w:rsidRPr="00E40A15">
        <w:rPr>
          <w:color w:val="auto"/>
          <w:sz w:val="20"/>
        </w:rPr>
        <w:t xml:space="preserve"> that the cavalry is coming in the form of further monetary stimulus. </w:t>
      </w:r>
      <w:r w:rsidR="00E40A15">
        <w:rPr>
          <w:color w:val="auto"/>
          <w:sz w:val="20"/>
        </w:rPr>
        <w:t xml:space="preserve">Sometimes bad news can be good </w:t>
      </w:r>
      <w:r>
        <w:rPr>
          <w:color w:val="auto"/>
          <w:sz w:val="20"/>
        </w:rPr>
        <w:t>news, at least which is how the markets interpreted these statements by the central banks</w:t>
      </w:r>
      <w:r w:rsidR="00E40A15" w:rsidRPr="00E40A15">
        <w:rPr>
          <w:color w:val="auto"/>
          <w:sz w:val="20"/>
        </w:rPr>
        <w:t>.</w:t>
      </w:r>
      <w:r w:rsidR="00E40A15" w:rsidRPr="00E40A15">
        <w:t xml:space="preserve"> </w:t>
      </w:r>
      <w:r w:rsidR="00E40A15">
        <w:rPr>
          <w:color w:val="auto"/>
          <w:sz w:val="20"/>
        </w:rPr>
        <w:t>M</w:t>
      </w:r>
      <w:r w:rsidR="00E40A15" w:rsidRPr="00E40A15">
        <w:rPr>
          <w:color w:val="auto"/>
          <w:sz w:val="20"/>
        </w:rPr>
        <w:t>arkets have been pricing in Fed and ECB rate cuts and the potential for further ECB quantitative easing (QE), all of which is supportive of developed market government bonds. Rate cuts and further QE can also be supportive for risk assets</w:t>
      </w:r>
      <w:r w:rsidR="00DD7AE3">
        <w:rPr>
          <w:color w:val="auto"/>
          <w:sz w:val="20"/>
        </w:rPr>
        <w:t xml:space="preserve"> (think equities)</w:t>
      </w:r>
      <w:r w:rsidR="00E40A15" w:rsidRPr="00E40A15">
        <w:rPr>
          <w:color w:val="auto"/>
          <w:sz w:val="20"/>
        </w:rPr>
        <w:t xml:space="preserve"> if they are successful in preventing the current slowdown from turning into an economic downturn. So</w:t>
      </w:r>
      <w:r w:rsidR="00DD7AE3">
        <w:rPr>
          <w:color w:val="auto"/>
          <w:sz w:val="20"/>
        </w:rPr>
        <w:t>,</w:t>
      </w:r>
      <w:r w:rsidR="00E40A15" w:rsidRPr="00E40A15">
        <w:rPr>
          <w:color w:val="auto"/>
          <w:sz w:val="20"/>
        </w:rPr>
        <w:t xml:space="preserve"> current market pricing reflects expectations that central bank stimulus will keep the economic expansion going.</w:t>
      </w:r>
    </w:p>
    <w:p w:rsidR="00A7719B" w:rsidRDefault="00A7719B" w:rsidP="00FC7E73">
      <w:pPr>
        <w:pStyle w:val="Default"/>
        <w:rPr>
          <w:color w:val="auto"/>
          <w:sz w:val="20"/>
        </w:rPr>
      </w:pPr>
    </w:p>
    <w:p w:rsidR="00A7719B" w:rsidRDefault="00A7719B" w:rsidP="00FC7E73">
      <w:pPr>
        <w:pStyle w:val="Default"/>
        <w:rPr>
          <w:color w:val="auto"/>
          <w:sz w:val="20"/>
        </w:rPr>
      </w:pPr>
      <w:r w:rsidRPr="00A7719B">
        <w:rPr>
          <w:color w:val="auto"/>
          <w:sz w:val="20"/>
        </w:rPr>
        <w:t>In short, the market has been willing to ignore the bad</w:t>
      </w:r>
      <w:r w:rsidR="00DD7AE3">
        <w:rPr>
          <w:color w:val="auto"/>
          <w:sz w:val="20"/>
        </w:rPr>
        <w:t xml:space="preserve"> (or weaker)</w:t>
      </w:r>
      <w:r w:rsidRPr="00A7719B">
        <w:rPr>
          <w:color w:val="auto"/>
          <w:sz w:val="20"/>
        </w:rPr>
        <w:t xml:space="preserve"> economic data in the hope that central bank stimulus will help avoid a recession. If the data remains weak, delivery of the hoped for</w:t>
      </w:r>
      <w:r w:rsidR="00831918">
        <w:rPr>
          <w:color w:val="auto"/>
          <w:sz w:val="20"/>
        </w:rPr>
        <w:t xml:space="preserve"> (and priced in)</w:t>
      </w:r>
      <w:r w:rsidRPr="00A7719B">
        <w:rPr>
          <w:color w:val="auto"/>
          <w:sz w:val="20"/>
        </w:rPr>
        <w:t xml:space="preserve"> stimulus seems highly likely. Whether the stimulus will be enough to extend what is now the longest economic expansion in history, only time will tell.</w:t>
      </w:r>
      <w:r>
        <w:rPr>
          <w:color w:val="auto"/>
          <w:sz w:val="20"/>
        </w:rPr>
        <w:t xml:space="preserve"> (JPMorgan Asset Management Team </w:t>
      </w:r>
      <w:r w:rsidR="00D038B8">
        <w:rPr>
          <w:color w:val="auto"/>
          <w:sz w:val="20"/>
        </w:rPr>
        <w:t>widely quoted</w:t>
      </w:r>
      <w:r>
        <w:rPr>
          <w:color w:val="auto"/>
          <w:sz w:val="20"/>
        </w:rPr>
        <w:t xml:space="preserve"> in this summary).</w:t>
      </w:r>
    </w:p>
    <w:p w:rsidR="00762632" w:rsidRDefault="00762632" w:rsidP="00FC7E73">
      <w:pPr>
        <w:pStyle w:val="Default"/>
        <w:rPr>
          <w:color w:val="auto"/>
          <w:sz w:val="20"/>
        </w:rPr>
      </w:pPr>
    </w:p>
    <w:p w:rsidR="00E40A15" w:rsidRDefault="00762632" w:rsidP="00FC7E73">
      <w:pPr>
        <w:pStyle w:val="Default"/>
        <w:rPr>
          <w:color w:val="auto"/>
          <w:sz w:val="20"/>
        </w:rPr>
      </w:pPr>
      <w:r>
        <w:rPr>
          <w:color w:val="auto"/>
          <w:sz w:val="20"/>
        </w:rPr>
        <w:t>Nuveen’s Global Investment Committee is of the opinion that the 2</w:t>
      </w:r>
      <w:r w:rsidRPr="00762632">
        <w:rPr>
          <w:color w:val="auto"/>
          <w:sz w:val="20"/>
          <w:vertAlign w:val="superscript"/>
        </w:rPr>
        <w:t>nd</w:t>
      </w:r>
      <w:r>
        <w:rPr>
          <w:color w:val="auto"/>
          <w:sz w:val="20"/>
        </w:rPr>
        <w:t xml:space="preserve"> half of 2019 will </w:t>
      </w:r>
      <w:r w:rsidRPr="00762632">
        <w:rPr>
          <w:color w:val="auto"/>
          <w:sz w:val="20"/>
        </w:rPr>
        <w:t>be tougher than the fir</w:t>
      </w:r>
      <w:r>
        <w:rPr>
          <w:color w:val="auto"/>
          <w:sz w:val="20"/>
        </w:rPr>
        <w:t>st. At the start of the year, they</w:t>
      </w:r>
      <w:r w:rsidRPr="00762632">
        <w:rPr>
          <w:color w:val="auto"/>
          <w:sz w:val="20"/>
        </w:rPr>
        <w:t xml:space="preserve"> pointed to a trade war escalation as the downside scenario. </w:t>
      </w:r>
      <w:r>
        <w:rPr>
          <w:color w:val="auto"/>
          <w:sz w:val="20"/>
        </w:rPr>
        <w:t>They are</w:t>
      </w:r>
      <w:r w:rsidRPr="00762632">
        <w:rPr>
          <w:color w:val="auto"/>
          <w:sz w:val="20"/>
        </w:rPr>
        <w:t xml:space="preserve"> focusing on the possibility of a weaker economic environment over the coming months. </w:t>
      </w:r>
      <w:r>
        <w:rPr>
          <w:color w:val="auto"/>
          <w:sz w:val="20"/>
        </w:rPr>
        <w:t xml:space="preserve">In their opinion they </w:t>
      </w:r>
      <w:r w:rsidRPr="00762632">
        <w:rPr>
          <w:color w:val="auto"/>
          <w:sz w:val="20"/>
        </w:rPr>
        <w:t>don’t think we</w:t>
      </w:r>
      <w:r>
        <w:rPr>
          <w:color w:val="auto"/>
          <w:sz w:val="20"/>
        </w:rPr>
        <w:t>’</w:t>
      </w:r>
      <w:r w:rsidRPr="00762632">
        <w:rPr>
          <w:color w:val="auto"/>
          <w:sz w:val="20"/>
        </w:rPr>
        <w:t>ve seen the end of downside corporate earnings revisions</w:t>
      </w:r>
      <w:r w:rsidR="00D038B8">
        <w:rPr>
          <w:color w:val="auto"/>
          <w:sz w:val="20"/>
        </w:rPr>
        <w:t>, which of course results in lower equity prices</w:t>
      </w:r>
      <w:r w:rsidRPr="00762632">
        <w:rPr>
          <w:color w:val="auto"/>
          <w:sz w:val="20"/>
        </w:rPr>
        <w:t>.</w:t>
      </w:r>
    </w:p>
    <w:p w:rsidR="00CB5BDD" w:rsidRDefault="00CB5BDD" w:rsidP="00FC7E73">
      <w:pPr>
        <w:pStyle w:val="Default"/>
        <w:rPr>
          <w:color w:val="auto"/>
          <w:sz w:val="20"/>
        </w:rPr>
      </w:pPr>
    </w:p>
    <w:p w:rsidR="00831918" w:rsidRDefault="00762632" w:rsidP="00FC7E73">
      <w:pPr>
        <w:pStyle w:val="Default"/>
        <w:rPr>
          <w:color w:val="auto"/>
          <w:sz w:val="20"/>
        </w:rPr>
      </w:pPr>
      <w:r>
        <w:rPr>
          <w:color w:val="auto"/>
          <w:sz w:val="20"/>
        </w:rPr>
        <w:t>In short,</w:t>
      </w:r>
      <w:r w:rsidR="00CB5BDD">
        <w:rPr>
          <w:color w:val="auto"/>
          <w:sz w:val="20"/>
        </w:rPr>
        <w:t xml:space="preserve"> more</w:t>
      </w:r>
      <w:r>
        <w:rPr>
          <w:color w:val="auto"/>
          <w:sz w:val="20"/>
        </w:rPr>
        <w:t xml:space="preserve"> volatility during the 2</w:t>
      </w:r>
      <w:r w:rsidRPr="00762632">
        <w:rPr>
          <w:color w:val="auto"/>
          <w:sz w:val="20"/>
          <w:vertAlign w:val="superscript"/>
        </w:rPr>
        <w:t>nd</w:t>
      </w:r>
      <w:r>
        <w:rPr>
          <w:color w:val="auto"/>
          <w:sz w:val="20"/>
        </w:rPr>
        <w:t xml:space="preserve"> half of 2019 is likely</w:t>
      </w:r>
      <w:r w:rsidR="00831918">
        <w:rPr>
          <w:color w:val="auto"/>
          <w:sz w:val="20"/>
        </w:rPr>
        <w:t>, and the rate of expansion/return is not likely to be repeated</w:t>
      </w:r>
      <w:r>
        <w:rPr>
          <w:color w:val="auto"/>
          <w:sz w:val="20"/>
        </w:rPr>
        <w:t xml:space="preserve">. </w:t>
      </w:r>
      <w:r w:rsidR="00654B5F">
        <w:rPr>
          <w:color w:val="auto"/>
          <w:sz w:val="20"/>
        </w:rPr>
        <w:t>As this</w:t>
      </w:r>
      <w:r w:rsidR="00CB5BDD">
        <w:rPr>
          <w:color w:val="auto"/>
          <w:sz w:val="20"/>
        </w:rPr>
        <w:t xml:space="preserve"> overall</w:t>
      </w:r>
      <w:r w:rsidR="00654B5F">
        <w:rPr>
          <w:color w:val="auto"/>
          <w:sz w:val="20"/>
        </w:rPr>
        <w:t xml:space="preserve"> </w:t>
      </w:r>
      <w:r>
        <w:rPr>
          <w:color w:val="auto"/>
          <w:sz w:val="20"/>
        </w:rPr>
        <w:t xml:space="preserve">expansion continues, </w:t>
      </w:r>
      <w:r w:rsidR="00831918">
        <w:rPr>
          <w:color w:val="auto"/>
          <w:sz w:val="20"/>
        </w:rPr>
        <w:t xml:space="preserve">allocation </w:t>
      </w:r>
      <w:r w:rsidR="00CB5BDD">
        <w:rPr>
          <w:color w:val="auto"/>
          <w:sz w:val="20"/>
        </w:rPr>
        <w:t>will likely become more</w:t>
      </w:r>
      <w:r w:rsidR="00831918">
        <w:rPr>
          <w:color w:val="auto"/>
          <w:sz w:val="20"/>
        </w:rPr>
        <w:t xml:space="preserve"> important. Elimination of unnece</w:t>
      </w:r>
      <w:r w:rsidR="00CB5BDD">
        <w:rPr>
          <w:color w:val="auto"/>
          <w:sz w:val="20"/>
        </w:rPr>
        <w:t xml:space="preserve">ssary risk may well prove a </w:t>
      </w:r>
      <w:r w:rsidR="00831918">
        <w:rPr>
          <w:color w:val="auto"/>
          <w:sz w:val="20"/>
        </w:rPr>
        <w:t>prudent</w:t>
      </w:r>
      <w:r w:rsidR="00CB5BDD">
        <w:rPr>
          <w:color w:val="auto"/>
          <w:sz w:val="20"/>
        </w:rPr>
        <w:t xml:space="preserve"> action</w:t>
      </w:r>
      <w:r w:rsidR="00831918">
        <w:rPr>
          <w:color w:val="auto"/>
          <w:sz w:val="20"/>
        </w:rPr>
        <w:t>. Ultimately, each of you should understand what rate of return</w:t>
      </w:r>
      <w:r w:rsidR="00CB5BDD">
        <w:rPr>
          <w:color w:val="auto"/>
          <w:sz w:val="20"/>
        </w:rPr>
        <w:t xml:space="preserve"> (and level of risk)</w:t>
      </w:r>
      <w:r w:rsidR="00831918">
        <w:rPr>
          <w:color w:val="auto"/>
          <w:sz w:val="20"/>
        </w:rPr>
        <w:t xml:space="preserve"> is required to achieve your objectives! Make sure you and your advisor are in alignment and your portfolio design is aligned with your objectives.</w:t>
      </w:r>
    </w:p>
    <w:p w:rsidR="00DD7AE3" w:rsidRDefault="00DD7AE3" w:rsidP="00FC7E73">
      <w:pPr>
        <w:pStyle w:val="Default"/>
        <w:rPr>
          <w:b/>
          <w:color w:val="auto"/>
          <w:u w:val="single"/>
        </w:rPr>
      </w:pPr>
    </w:p>
    <w:p w:rsidR="00762632" w:rsidRDefault="00532AD2" w:rsidP="00FC7E73">
      <w:pPr>
        <w:pStyle w:val="Default"/>
        <w:rPr>
          <w:b/>
          <w:color w:val="auto"/>
          <w:sz w:val="20"/>
        </w:rPr>
      </w:pPr>
      <w:r>
        <w:rPr>
          <w:b/>
          <w:color w:val="auto"/>
          <w:u w:val="single"/>
        </w:rPr>
        <w:lastRenderedPageBreak/>
        <w:t xml:space="preserve">FINANCIAL CONCEPT - </w:t>
      </w:r>
      <w:r w:rsidR="00831918">
        <w:rPr>
          <w:b/>
          <w:color w:val="auto"/>
          <w:u w:val="single"/>
        </w:rPr>
        <w:t>ASSET ALLOCATION:</w:t>
      </w:r>
    </w:p>
    <w:p w:rsidR="00831918" w:rsidRPr="00FF39FF" w:rsidRDefault="00831918" w:rsidP="00FC7E73">
      <w:pPr>
        <w:pStyle w:val="Default"/>
        <w:rPr>
          <w:color w:val="auto"/>
          <w:sz w:val="20"/>
        </w:rPr>
      </w:pPr>
    </w:p>
    <w:p w:rsidR="00831918" w:rsidRDefault="00FF39FF" w:rsidP="00FC7E73">
      <w:pPr>
        <w:pStyle w:val="Default"/>
        <w:rPr>
          <w:color w:val="auto"/>
          <w:sz w:val="20"/>
        </w:rPr>
      </w:pPr>
      <w:r>
        <w:rPr>
          <w:color w:val="auto"/>
          <w:sz w:val="20"/>
        </w:rPr>
        <w:t>Asset allocation is a term that is frequently tossed around by financial advisor types. What does that really mean and why d</w:t>
      </w:r>
      <w:r w:rsidR="00D038B8">
        <w:rPr>
          <w:color w:val="auto"/>
          <w:sz w:val="20"/>
        </w:rPr>
        <w:t>o we</w:t>
      </w:r>
      <w:r>
        <w:rPr>
          <w:color w:val="auto"/>
          <w:sz w:val="20"/>
        </w:rPr>
        <w:t xml:space="preserve"> believe it is</w:t>
      </w:r>
      <w:r w:rsidR="00D038B8">
        <w:rPr>
          <w:color w:val="auto"/>
          <w:sz w:val="20"/>
        </w:rPr>
        <w:t xml:space="preserve"> so</w:t>
      </w:r>
      <w:r>
        <w:rPr>
          <w:color w:val="auto"/>
          <w:sz w:val="20"/>
        </w:rPr>
        <w:t xml:space="preserve"> important? The term can’t be found in Merriam-Webster, so is it simply made up language? Perhaps, but the words (in my opinion) ultimately mean managing risk! People hear folks in the media refer to the Dow Industrial or S&amp;P 500 rates, occasionally in extreme circumstances the news and </w:t>
      </w:r>
      <w:r w:rsidR="00DD7AE3">
        <w:rPr>
          <w:color w:val="auto"/>
          <w:sz w:val="20"/>
        </w:rPr>
        <w:t xml:space="preserve">fluctuation of the numbers </w:t>
      </w:r>
      <w:bookmarkStart w:id="0" w:name="_GoBack"/>
      <w:bookmarkEnd w:id="0"/>
      <w:r>
        <w:rPr>
          <w:color w:val="auto"/>
          <w:sz w:val="20"/>
        </w:rPr>
        <w:t>result in an emotional reaction. Most remember the diffi</w:t>
      </w:r>
      <w:r w:rsidR="00D038B8">
        <w:rPr>
          <w:color w:val="auto"/>
          <w:sz w:val="20"/>
        </w:rPr>
        <w:t>cult days of late 2008/early 200</w:t>
      </w:r>
      <w:r>
        <w:rPr>
          <w:color w:val="auto"/>
          <w:sz w:val="20"/>
        </w:rPr>
        <w:t>9, effective asset al</w:t>
      </w:r>
      <w:r w:rsidR="007F293B">
        <w:rPr>
          <w:color w:val="auto"/>
          <w:sz w:val="20"/>
        </w:rPr>
        <w:t>location is designed to address</w:t>
      </w:r>
      <w:r w:rsidR="00D038B8">
        <w:rPr>
          <w:color w:val="auto"/>
          <w:sz w:val="20"/>
        </w:rPr>
        <w:t xml:space="preserve"> that experience</w:t>
      </w:r>
      <w:r w:rsidR="007F293B">
        <w:rPr>
          <w:color w:val="auto"/>
          <w:sz w:val="20"/>
        </w:rPr>
        <w:t xml:space="preserve">. </w:t>
      </w:r>
      <w:r w:rsidR="00D038B8">
        <w:rPr>
          <w:color w:val="auto"/>
          <w:sz w:val="20"/>
        </w:rPr>
        <w:t>Effective and efficient asset allocation requires that m</w:t>
      </w:r>
      <w:r w:rsidR="007F293B">
        <w:rPr>
          <w:color w:val="auto"/>
          <w:sz w:val="20"/>
        </w:rPr>
        <w:t xml:space="preserve">ultiple questions </w:t>
      </w:r>
      <w:r w:rsidR="00D038B8">
        <w:rPr>
          <w:color w:val="auto"/>
          <w:sz w:val="20"/>
        </w:rPr>
        <w:t xml:space="preserve">be asked and answered, for example, </w:t>
      </w:r>
      <w:r w:rsidR="007F293B">
        <w:rPr>
          <w:color w:val="auto"/>
          <w:sz w:val="20"/>
        </w:rPr>
        <w:t xml:space="preserve">what percentage of portfolio funds should be invested </w:t>
      </w:r>
      <w:r w:rsidR="00532AD2">
        <w:rPr>
          <w:color w:val="auto"/>
          <w:sz w:val="20"/>
        </w:rPr>
        <w:t xml:space="preserve">domestically and </w:t>
      </w:r>
      <w:r w:rsidR="007F293B">
        <w:rPr>
          <w:color w:val="auto"/>
          <w:sz w:val="20"/>
        </w:rPr>
        <w:t xml:space="preserve">internationally, and, how much of that portfolio should be invested in stocks, bonds, alternatives, or simply held in cash; timelines are also integral to the filtering of the various options. </w:t>
      </w:r>
    </w:p>
    <w:p w:rsidR="007F293B" w:rsidRDefault="007F293B" w:rsidP="00FC7E73">
      <w:pPr>
        <w:pStyle w:val="Default"/>
        <w:rPr>
          <w:color w:val="auto"/>
          <w:sz w:val="20"/>
        </w:rPr>
      </w:pPr>
    </w:p>
    <w:p w:rsidR="007F293B" w:rsidRDefault="007F293B" w:rsidP="00FC7E73">
      <w:pPr>
        <w:pStyle w:val="Default"/>
        <w:rPr>
          <w:color w:val="auto"/>
          <w:sz w:val="20"/>
        </w:rPr>
      </w:pPr>
      <w:r>
        <w:rPr>
          <w:color w:val="auto"/>
          <w:sz w:val="20"/>
        </w:rPr>
        <w:t>Many knowledgeable market observers agree that the asset allocation decision is the most important decision made by an investor. A widely circulated study from 1986 found that the as</w:t>
      </w:r>
      <w:r w:rsidR="00FE2642">
        <w:rPr>
          <w:color w:val="auto"/>
          <w:sz w:val="20"/>
        </w:rPr>
        <w:t>set allocation decision accounted</w:t>
      </w:r>
      <w:r>
        <w:rPr>
          <w:color w:val="auto"/>
          <w:sz w:val="20"/>
        </w:rPr>
        <w:t xml:space="preserve"> for more than 90 percent of the variance in quarterly returns for a typical large pension fund. </w:t>
      </w:r>
      <w:r w:rsidR="00FE2642">
        <w:rPr>
          <w:color w:val="auto"/>
          <w:sz w:val="20"/>
        </w:rPr>
        <w:t>Consider the 25-month bear market that occurred during 2000-2002. A 100 percent stock portfolio (Wiltshire 5000 Index) would have lost about 44 percent of its value, while an investor who chose a 60 percent stock/40 percent bond combination would have lost only about 17 percent. On the other hand, a 100 percent bond portfolio (Lehman Bond Index) would have gained about 23 percent in value.</w:t>
      </w:r>
    </w:p>
    <w:p w:rsidR="00FE2642" w:rsidRDefault="00FE2642" w:rsidP="00FC7E73">
      <w:pPr>
        <w:pStyle w:val="Default"/>
        <w:rPr>
          <w:color w:val="auto"/>
          <w:sz w:val="20"/>
        </w:rPr>
      </w:pPr>
    </w:p>
    <w:p w:rsidR="003A3FAC" w:rsidRDefault="00FE2642" w:rsidP="00FC7E73">
      <w:pPr>
        <w:pStyle w:val="Default"/>
        <w:rPr>
          <w:color w:val="auto"/>
          <w:sz w:val="20"/>
        </w:rPr>
      </w:pPr>
      <w:r>
        <w:rPr>
          <w:color w:val="auto"/>
          <w:sz w:val="20"/>
        </w:rPr>
        <w:t>The point is NO ONE can be sure what financial markets are going to do over some future period of time. And if, in fact, stocks decline sharply, as they invariably will, asset allocation becomes critical to wealth preservation. Different asset classes offer various potential returns and various levels of risk, and the correlation coefficients between some of these asset classes may be quite low, thereby providing beneficial diversification effects. It is critically important that you as an investor be</w:t>
      </w:r>
      <w:r w:rsidR="00654B5F">
        <w:rPr>
          <w:color w:val="auto"/>
          <w:sz w:val="20"/>
        </w:rPr>
        <w:t xml:space="preserve"> direct and explicit </w:t>
      </w:r>
      <w:r w:rsidR="003A3FAC">
        <w:rPr>
          <w:color w:val="auto"/>
          <w:sz w:val="20"/>
        </w:rPr>
        <w:t>when communicating</w:t>
      </w:r>
      <w:r w:rsidR="00654B5F">
        <w:rPr>
          <w:color w:val="auto"/>
          <w:sz w:val="20"/>
        </w:rPr>
        <w:t xml:space="preserve"> your thoughts about goals/objectives/timelines and feelings about the market. Only then can your advisor do his/her job to insure the asset allocation (or I like to use the phrase risk profile) is aligned and built to withstand the worst or best the markets throw at us!</w:t>
      </w:r>
    </w:p>
    <w:p w:rsidR="003A3FAC" w:rsidRDefault="003A3FAC" w:rsidP="00FC7E73">
      <w:pPr>
        <w:pStyle w:val="Default"/>
        <w:rPr>
          <w:color w:val="auto"/>
          <w:sz w:val="20"/>
        </w:rPr>
      </w:pPr>
    </w:p>
    <w:p w:rsidR="003A3FAC" w:rsidRDefault="003A3FAC" w:rsidP="00FC7E73">
      <w:pPr>
        <w:pStyle w:val="Default"/>
        <w:rPr>
          <w:color w:val="auto"/>
          <w:sz w:val="20"/>
        </w:rPr>
      </w:pPr>
      <w:r>
        <w:rPr>
          <w:color w:val="auto"/>
          <w:sz w:val="20"/>
        </w:rPr>
        <w:t>Regards,</w:t>
      </w:r>
    </w:p>
    <w:p w:rsidR="003A3FAC" w:rsidRDefault="003A3FAC" w:rsidP="00FC7E73">
      <w:pPr>
        <w:pStyle w:val="Default"/>
        <w:rPr>
          <w:color w:val="auto"/>
          <w:sz w:val="20"/>
        </w:rPr>
      </w:pPr>
      <w:r>
        <w:rPr>
          <w:color w:val="auto"/>
          <w:sz w:val="20"/>
        </w:rPr>
        <w:t>Jim</w:t>
      </w:r>
    </w:p>
    <w:p w:rsidR="00654B5F" w:rsidRDefault="00654B5F" w:rsidP="00FC7E73">
      <w:pPr>
        <w:pStyle w:val="Default"/>
        <w:rPr>
          <w:color w:val="auto"/>
          <w:sz w:val="20"/>
        </w:rPr>
      </w:pPr>
    </w:p>
    <w:p w:rsidR="00654B5F" w:rsidRDefault="00654B5F" w:rsidP="00FC7E73">
      <w:pPr>
        <w:pStyle w:val="Default"/>
        <w:rPr>
          <w:color w:val="auto"/>
          <w:sz w:val="20"/>
          <w:u w:val="dotted"/>
        </w:rPr>
      </w:pPr>
      <w:r w:rsidRPr="00654B5F">
        <w:rPr>
          <w:color w:val="auto"/>
          <w:sz w:val="20"/>
          <w:u w:val="dotted"/>
        </w:rPr>
        <w:tab/>
      </w:r>
      <w:r w:rsidRPr="00654B5F">
        <w:rPr>
          <w:color w:val="auto"/>
          <w:sz w:val="20"/>
          <w:u w:val="dotted"/>
        </w:rPr>
        <w:tab/>
      </w:r>
      <w:r w:rsidRPr="00654B5F">
        <w:rPr>
          <w:color w:val="auto"/>
          <w:sz w:val="20"/>
          <w:u w:val="dotted"/>
        </w:rPr>
        <w:tab/>
      </w:r>
      <w:r w:rsidRPr="00654B5F">
        <w:rPr>
          <w:color w:val="auto"/>
          <w:sz w:val="20"/>
          <w:u w:val="dotted"/>
        </w:rPr>
        <w:tab/>
      </w:r>
      <w:r w:rsidRPr="00654B5F">
        <w:rPr>
          <w:color w:val="auto"/>
          <w:sz w:val="20"/>
          <w:u w:val="dotted"/>
        </w:rPr>
        <w:tab/>
      </w:r>
      <w:r w:rsidRPr="00654B5F">
        <w:rPr>
          <w:color w:val="auto"/>
          <w:sz w:val="20"/>
          <w:u w:val="dotted"/>
        </w:rPr>
        <w:tab/>
      </w:r>
      <w:r w:rsidRPr="00654B5F">
        <w:rPr>
          <w:color w:val="auto"/>
          <w:sz w:val="20"/>
          <w:u w:val="dotted"/>
        </w:rPr>
        <w:tab/>
      </w:r>
      <w:r w:rsidRPr="00654B5F">
        <w:rPr>
          <w:color w:val="auto"/>
          <w:sz w:val="20"/>
          <w:u w:val="dotted"/>
        </w:rPr>
        <w:tab/>
      </w:r>
      <w:r w:rsidRPr="00654B5F">
        <w:rPr>
          <w:color w:val="auto"/>
          <w:sz w:val="20"/>
          <w:u w:val="dotted"/>
        </w:rPr>
        <w:tab/>
      </w:r>
      <w:r w:rsidRPr="00654B5F">
        <w:rPr>
          <w:color w:val="auto"/>
          <w:sz w:val="20"/>
          <w:u w:val="dotted"/>
        </w:rPr>
        <w:tab/>
      </w:r>
      <w:r w:rsidRPr="00654B5F">
        <w:rPr>
          <w:color w:val="auto"/>
          <w:sz w:val="20"/>
          <w:u w:val="dotted"/>
        </w:rPr>
        <w:tab/>
      </w:r>
      <w:r w:rsidRPr="00654B5F">
        <w:rPr>
          <w:color w:val="auto"/>
          <w:sz w:val="20"/>
          <w:u w:val="dotted"/>
        </w:rPr>
        <w:tab/>
      </w:r>
      <w:r w:rsidRPr="00654B5F">
        <w:rPr>
          <w:color w:val="auto"/>
          <w:sz w:val="20"/>
          <w:u w:val="dotted"/>
        </w:rPr>
        <w:tab/>
      </w:r>
      <w:r w:rsidRPr="00654B5F">
        <w:rPr>
          <w:color w:val="auto"/>
          <w:sz w:val="20"/>
          <w:u w:val="dotted"/>
        </w:rPr>
        <w:tab/>
      </w:r>
      <w:r w:rsidRPr="00654B5F">
        <w:rPr>
          <w:color w:val="auto"/>
          <w:sz w:val="20"/>
          <w:u w:val="dotted"/>
        </w:rPr>
        <w:tab/>
      </w:r>
    </w:p>
    <w:p w:rsidR="00654B5F" w:rsidRDefault="00654B5F" w:rsidP="00FC7E73">
      <w:pPr>
        <w:pStyle w:val="Default"/>
        <w:rPr>
          <w:color w:val="auto"/>
          <w:sz w:val="20"/>
          <w:u w:val="dotted"/>
        </w:rPr>
      </w:pPr>
    </w:p>
    <w:p w:rsidR="00654B5F" w:rsidRPr="003A3FAC" w:rsidRDefault="00654B5F" w:rsidP="00654B5F">
      <w:pPr>
        <w:pStyle w:val="Default"/>
        <w:rPr>
          <w:b/>
          <w:color w:val="auto"/>
          <w:sz w:val="22"/>
          <w:u w:val="single"/>
        </w:rPr>
      </w:pPr>
      <w:r w:rsidRPr="003A3FAC">
        <w:rPr>
          <w:b/>
          <w:color w:val="auto"/>
          <w:sz w:val="22"/>
          <w:u w:val="single"/>
        </w:rPr>
        <w:t>Important information</w:t>
      </w:r>
    </w:p>
    <w:p w:rsidR="00654B5F" w:rsidRPr="007118D2" w:rsidRDefault="00654B5F" w:rsidP="00654B5F">
      <w:pPr>
        <w:pStyle w:val="Default"/>
        <w:rPr>
          <w:b/>
          <w:color w:val="auto"/>
          <w:sz w:val="18"/>
          <w:u w:val="single"/>
        </w:rPr>
      </w:pPr>
    </w:p>
    <w:p w:rsidR="00654B5F" w:rsidRPr="003A3FAC" w:rsidRDefault="00654B5F" w:rsidP="00654B5F">
      <w:pPr>
        <w:pStyle w:val="Default"/>
        <w:rPr>
          <w:color w:val="auto"/>
          <w:sz w:val="14"/>
          <w:szCs w:val="14"/>
        </w:rPr>
      </w:pPr>
      <w:r w:rsidRPr="003A3FAC">
        <w:rPr>
          <w:color w:val="auto"/>
          <w:sz w:val="14"/>
          <w:szCs w:val="14"/>
        </w:rPr>
        <w:t xml:space="preserve">This document is a general communication being provided for informational purposes only. It is educational in nature and not designed to be taken as advice or a recommendation for any specific investment product, strategy, plan feature or other purpose in any jurisdiction, nor is it a commitment from </w:t>
      </w:r>
      <w:r w:rsidR="007118D2" w:rsidRPr="003A3FAC">
        <w:rPr>
          <w:color w:val="auto"/>
          <w:sz w:val="14"/>
          <w:szCs w:val="14"/>
        </w:rPr>
        <w:t>Cambridge Investment Management</w:t>
      </w:r>
      <w:r w:rsidRPr="003A3FAC">
        <w:rPr>
          <w:color w:val="auto"/>
          <w:sz w:val="14"/>
          <w:szCs w:val="14"/>
        </w:rPr>
        <w:t xml:space="preserve"> or </w:t>
      </w:r>
      <w:r w:rsidR="007118D2" w:rsidRPr="003A3FAC">
        <w:rPr>
          <w:color w:val="auto"/>
          <w:sz w:val="14"/>
          <w:szCs w:val="14"/>
        </w:rPr>
        <w:t>Trinity Financial Planning</w:t>
      </w:r>
      <w:r w:rsidRPr="003A3FAC">
        <w:rPr>
          <w:color w:val="auto"/>
          <w:sz w:val="14"/>
          <w:szCs w:val="14"/>
        </w:rPr>
        <w:t xml:space="preserve"> to participate in any of the transactions mentioned herein. Any examples used are generic, hypothetical and for illustration purposes only. This material does not contain sufficient information to support an investment decision and it should not be relied upon by you in evaluating the merits of investing in any securities or products. In addition, users should make an independent assessment of the legal, regulatory, tax, credit, and accounting implications and determine, together with their own professional advisers, if any investment mentioned herein is believed to be suitable to their personal goals. Investors should ensure that they obtain all available relevant information before making any investment. Any forecasts, figures, opinions or investment techniques and strategies set out are for information purposes only, based on certain assumptions and current market conditions and are subject to change without prior notice. All information presented herein is considered to be accurate at the time of production, but no warranty of accuracy is given and no liability in respect of any error or omission is accepted. It should be noted that investment involves risks, the value of investments and the income from them may fluctuate in accordance with market conditions and taxation agreements and investors may not get back the full amount invested. Both past performance and yields is not a reliable indicator of current and future results.</w:t>
      </w:r>
    </w:p>
    <w:p w:rsidR="00FE2642" w:rsidRPr="007118D2" w:rsidRDefault="00FE2642" w:rsidP="00FC7E73">
      <w:pPr>
        <w:pStyle w:val="Default"/>
        <w:rPr>
          <w:color w:val="auto"/>
          <w:sz w:val="14"/>
        </w:rPr>
      </w:pPr>
    </w:p>
    <w:p w:rsidR="00FF39FF" w:rsidRPr="007118D2" w:rsidRDefault="00FF39FF" w:rsidP="00FC7E73">
      <w:pPr>
        <w:pStyle w:val="Default"/>
        <w:rPr>
          <w:color w:val="auto"/>
          <w:sz w:val="14"/>
        </w:rPr>
      </w:pPr>
    </w:p>
    <w:p w:rsidR="00893B8F" w:rsidRPr="003A3FAC" w:rsidRDefault="00893B8F" w:rsidP="00FC7E73">
      <w:pPr>
        <w:pStyle w:val="Default"/>
        <w:rPr>
          <w:color w:val="auto"/>
          <w:sz w:val="16"/>
        </w:rPr>
      </w:pPr>
      <w:r w:rsidRPr="003A3FAC">
        <w:rPr>
          <w:color w:val="auto"/>
          <w:sz w:val="16"/>
        </w:rPr>
        <w:t>Footnotes:</w:t>
      </w:r>
    </w:p>
    <w:p w:rsidR="00893B8F" w:rsidRPr="003A3FAC" w:rsidRDefault="00893B8F" w:rsidP="00893B8F">
      <w:pPr>
        <w:pStyle w:val="Default"/>
        <w:rPr>
          <w:color w:val="auto"/>
          <w:sz w:val="18"/>
        </w:rPr>
      </w:pPr>
      <w:r w:rsidRPr="003A3FAC">
        <w:rPr>
          <w:color w:val="auto"/>
          <w:sz w:val="14"/>
        </w:rPr>
        <w:t xml:space="preserve">Source: </w:t>
      </w:r>
      <w:proofErr w:type="spellStart"/>
      <w:r w:rsidRPr="003A3FAC">
        <w:rPr>
          <w:color w:val="auto"/>
          <w:sz w:val="14"/>
        </w:rPr>
        <w:t>FactSet</w:t>
      </w:r>
      <w:proofErr w:type="spellEnd"/>
      <w:r w:rsidRPr="003A3FAC">
        <w:rPr>
          <w:color w:val="auto"/>
          <w:sz w:val="14"/>
        </w:rPr>
        <w:t>. S&amp;P 500 is represented by the S&amp;P 500 Index, DJIA is represented by the Dow Jones Industrial Average, NASDAQ is represented by the NASDAQ Composite Index, Foreign Stocks are represented by the MSCI EAFE Index and Emerging Markets are represented by the MSCI Emerging Markets Index.</w:t>
      </w:r>
      <w:r w:rsidR="00E40A15" w:rsidRPr="003A3FAC">
        <w:rPr>
          <w:sz w:val="22"/>
        </w:rPr>
        <w:t xml:space="preserve"> </w:t>
      </w:r>
      <w:r w:rsidR="00E40A15" w:rsidRPr="003A3FAC">
        <w:rPr>
          <w:color w:val="auto"/>
          <w:sz w:val="14"/>
        </w:rPr>
        <w:t xml:space="preserve">10-Yr Treasury is represented by the FTSE 10-Year Treasury </w:t>
      </w:r>
      <w:proofErr w:type="gramStart"/>
      <w:r w:rsidR="00E40A15" w:rsidRPr="003A3FAC">
        <w:rPr>
          <w:color w:val="auto"/>
          <w:sz w:val="14"/>
        </w:rPr>
        <w:t>Bond</w:t>
      </w:r>
      <w:proofErr w:type="gramEnd"/>
      <w:r w:rsidR="00E40A15" w:rsidRPr="003A3FAC">
        <w:rPr>
          <w:color w:val="auto"/>
          <w:sz w:val="14"/>
        </w:rPr>
        <w:t xml:space="preserve"> Index, US Bonds are represented by the Bloomberg Barclays US Aggregate Index, Global Bonds are represented by the Bloomberg Barclays Global Aggregate Index and Munis are represented by Bloomberg Barclays Municipal Bond Index. Fed Funds Rate, Federal Reserve; Inflation and Unemployment, US Department of Labor; and GDP, US Bureau of Economic Analysis. </w:t>
      </w:r>
    </w:p>
    <w:sectPr w:rsidR="00893B8F" w:rsidRPr="003A3FAC" w:rsidSect="00CB5BDD">
      <w:headerReference w:type="default" r:id="rId9"/>
      <w:footerReference w:type="default" r:id="rId10"/>
      <w:headerReference w:type="first" r:id="rId11"/>
      <w:pgSz w:w="12240" w:h="15840"/>
      <w:pgMar w:top="2160" w:right="720" w:bottom="720" w:left="72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D39" w:rsidRDefault="00152D39" w:rsidP="00892427">
      <w:pPr>
        <w:spacing w:after="0" w:line="240" w:lineRule="auto"/>
      </w:pPr>
      <w:r>
        <w:separator/>
      </w:r>
    </w:p>
  </w:endnote>
  <w:endnote w:type="continuationSeparator" w:id="0">
    <w:p w:rsidR="00152D39" w:rsidRDefault="00152D39" w:rsidP="00892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427" w:rsidRDefault="00892427" w:rsidP="00892427">
    <w:pPr>
      <w:pStyle w:val="Footer"/>
      <w:jc w:val="center"/>
      <w:rPr>
        <w:rFonts w:ascii="Cambria" w:hAnsi="Cambria"/>
        <w:color w:val="767171" w:themeColor="background2" w:themeShade="80"/>
        <w:sz w:val="20"/>
        <w:szCs w:val="20"/>
      </w:rPr>
    </w:pPr>
    <w:r>
      <w:rPr>
        <w:noProof/>
      </w:rPr>
      <mc:AlternateContent>
        <mc:Choice Requires="wps">
          <w:drawing>
            <wp:anchor distT="0" distB="0" distL="114300" distR="114300" simplePos="0" relativeHeight="251660288" behindDoc="0" locked="0" layoutInCell="1" allowOverlap="1" wp14:anchorId="12ED0C89" wp14:editId="2B06A75B">
              <wp:simplePos x="0" y="0"/>
              <wp:positionH relativeFrom="margin">
                <wp:posOffset>-552450</wp:posOffset>
              </wp:positionH>
              <wp:positionV relativeFrom="paragraph">
                <wp:posOffset>-124460</wp:posOffset>
              </wp:positionV>
              <wp:extent cx="7019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7019925" cy="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43.5pt,-9.8pt" to="509.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" strokecolor="#a5a5a5 [3206]" strokeweight="1pt">
              <v:stroke joinstyle="miter"/>
              <w10:wrap anchorx="margin"/>
            </v:line>
          </w:pict>
        </mc:Fallback>
      </mc:AlternateContent>
    </w:r>
    <w:r>
      <w:rPr>
        <w:rFonts w:ascii="Cambria" w:hAnsi="Cambria"/>
        <w:color w:val="767171" w:themeColor="background2" w:themeShade="80"/>
        <w:sz w:val="20"/>
        <w:szCs w:val="20"/>
      </w:rPr>
      <w:t xml:space="preserve"> Trinity Financial Planning </w:t>
    </w:r>
    <w:r w:rsidR="00AF6E56">
      <w:rPr>
        <w:rFonts w:ascii="Cambria" w:hAnsi="Cambria"/>
        <w:color w:val="767171" w:themeColor="background2" w:themeShade="80"/>
        <w:sz w:val="20"/>
        <w:szCs w:val="20"/>
      </w:rPr>
      <w:t>•</w:t>
    </w:r>
    <w:r>
      <w:rPr>
        <w:rFonts w:ascii="Cambria" w:hAnsi="Cambria"/>
        <w:color w:val="767171" w:themeColor="background2" w:themeShade="80"/>
        <w:sz w:val="20"/>
        <w:szCs w:val="20"/>
      </w:rPr>
      <w:t xml:space="preserve"> </w:t>
    </w:r>
    <w:r w:rsidRPr="00892427">
      <w:rPr>
        <w:rFonts w:ascii="Cambria" w:hAnsi="Cambria"/>
        <w:color w:val="767171" w:themeColor="background2" w:themeShade="80"/>
        <w:sz w:val="20"/>
        <w:szCs w:val="20"/>
      </w:rPr>
      <w:t xml:space="preserve">1530 Habersham Place </w:t>
    </w:r>
    <w:r w:rsidR="00AF6E56">
      <w:rPr>
        <w:rFonts w:ascii="Cambria" w:hAnsi="Cambria"/>
        <w:color w:val="767171" w:themeColor="background2" w:themeShade="80"/>
        <w:sz w:val="20"/>
        <w:szCs w:val="20"/>
      </w:rPr>
      <w:t>•</w:t>
    </w:r>
    <w:r>
      <w:rPr>
        <w:rFonts w:ascii="Cambria" w:hAnsi="Cambria"/>
        <w:color w:val="767171" w:themeColor="background2" w:themeShade="80"/>
        <w:sz w:val="20"/>
        <w:szCs w:val="20"/>
      </w:rPr>
      <w:t xml:space="preserve"> </w:t>
    </w:r>
    <w:r w:rsidRPr="00892427">
      <w:rPr>
        <w:rFonts w:ascii="Cambria" w:hAnsi="Cambria"/>
        <w:color w:val="767171" w:themeColor="background2" w:themeShade="80"/>
        <w:sz w:val="20"/>
        <w:szCs w:val="20"/>
      </w:rPr>
      <w:t>Cumming, GA 30041</w:t>
    </w:r>
    <w:r>
      <w:rPr>
        <w:rFonts w:ascii="Cambria" w:hAnsi="Cambria"/>
        <w:color w:val="767171" w:themeColor="background2" w:themeShade="80"/>
        <w:sz w:val="20"/>
        <w:szCs w:val="20"/>
      </w:rPr>
      <w:t xml:space="preserve"> </w:t>
    </w:r>
    <w:r w:rsidR="00AF6E56">
      <w:rPr>
        <w:rFonts w:ascii="Cambria" w:hAnsi="Cambria"/>
        <w:color w:val="767171" w:themeColor="background2" w:themeShade="80"/>
        <w:sz w:val="20"/>
        <w:szCs w:val="20"/>
      </w:rPr>
      <w:t>•</w:t>
    </w:r>
    <w:r>
      <w:rPr>
        <w:rFonts w:ascii="Cambria" w:hAnsi="Cambria"/>
        <w:color w:val="767171" w:themeColor="background2" w:themeShade="80"/>
        <w:sz w:val="20"/>
        <w:szCs w:val="20"/>
      </w:rPr>
      <w:t xml:space="preserve"> </w:t>
    </w:r>
    <w:r w:rsidRPr="00892427">
      <w:rPr>
        <w:rFonts w:ascii="Cambria" w:hAnsi="Cambria"/>
        <w:color w:val="767171" w:themeColor="background2" w:themeShade="80"/>
        <w:sz w:val="20"/>
        <w:szCs w:val="20"/>
      </w:rPr>
      <w:t>404-434-2904</w:t>
    </w:r>
  </w:p>
  <w:p w:rsidR="00CC1753" w:rsidRDefault="00CC1753" w:rsidP="00892427">
    <w:pPr>
      <w:pStyle w:val="Footer"/>
      <w:jc w:val="center"/>
      <w:rPr>
        <w:rFonts w:ascii="Cambria" w:hAnsi="Cambria"/>
        <w:color w:val="767171" w:themeColor="background2" w:themeShade="80"/>
        <w:sz w:val="20"/>
        <w:szCs w:val="20"/>
      </w:rPr>
    </w:pPr>
  </w:p>
  <w:p w:rsidR="00CC1753" w:rsidRPr="00CC1753" w:rsidRDefault="00CC1753" w:rsidP="00CC1753">
    <w:pPr>
      <w:rPr>
        <w:rFonts w:ascii="Calibri" w:eastAsia="Calibri" w:hAnsi="Calibri" w:cs="Times New Roman"/>
        <w:sz w:val="20"/>
      </w:rPr>
    </w:pPr>
    <w:r w:rsidRPr="00CC1753">
      <w:rPr>
        <w:rFonts w:ascii="Calibri" w:eastAsia="Calibri" w:hAnsi="Calibri" w:cs="Times New Roman"/>
        <w:sz w:val="20"/>
      </w:rPr>
      <w:t>Securities offered through Registered Representatives of Cambridge Investment Research, Inc., a Broker/Dealer, Member FINRA/SIPC. Advisory services offered through Cambridge Investment Research Advisors, Inc., a Registered Investment Advisor. Trinity Financial Planning and Cambridge are not affiliated.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D39" w:rsidRDefault="00152D39" w:rsidP="00892427">
      <w:pPr>
        <w:spacing w:after="0" w:line="240" w:lineRule="auto"/>
      </w:pPr>
      <w:r>
        <w:separator/>
      </w:r>
    </w:p>
  </w:footnote>
  <w:footnote w:type="continuationSeparator" w:id="0">
    <w:p w:rsidR="00152D39" w:rsidRDefault="00152D39" w:rsidP="008924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BDD" w:rsidRDefault="00CB5BDD">
    <w:pPr>
      <w:pStyle w:val="Header"/>
    </w:pPr>
    <w:proofErr w:type="spellStart"/>
    <w:r>
      <w:t>Con’t</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464" w:rsidRDefault="00CB5BDD">
    <w:pPr>
      <w:pStyle w:val="Header"/>
    </w:pPr>
    <w:r>
      <w:rPr>
        <w:noProof/>
      </w:rPr>
      <w:drawing>
        <wp:anchor distT="0" distB="0" distL="114300" distR="114300" simplePos="0" relativeHeight="251662336" behindDoc="1" locked="0" layoutInCell="1" allowOverlap="1" wp14:anchorId="394F21C1" wp14:editId="2BCEBED5">
          <wp:simplePos x="0" y="0"/>
          <wp:positionH relativeFrom="margin">
            <wp:posOffset>1969135</wp:posOffset>
          </wp:positionH>
          <wp:positionV relativeFrom="paragraph">
            <wp:posOffset>-323850</wp:posOffset>
          </wp:positionV>
          <wp:extent cx="2423795" cy="1095375"/>
          <wp:effectExtent l="0" t="0" r="0" b="9525"/>
          <wp:wrapTight wrapText="bothSides">
            <wp:wrapPolygon edited="0">
              <wp:start x="0" y="0"/>
              <wp:lineTo x="0" y="21412"/>
              <wp:lineTo x="21391" y="21412"/>
              <wp:lineTo x="2139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nity-Logo-_Artboard 8 copy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3795" cy="10953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20073"/>
    <w:multiLevelType w:val="hybridMultilevel"/>
    <w:tmpl w:val="B5AAC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B82329"/>
    <w:multiLevelType w:val="hybridMultilevel"/>
    <w:tmpl w:val="1AFA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8E38C4"/>
    <w:multiLevelType w:val="hybridMultilevel"/>
    <w:tmpl w:val="F734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A0E"/>
    <w:rsid w:val="00007D1D"/>
    <w:rsid w:val="000121A0"/>
    <w:rsid w:val="000150E2"/>
    <w:rsid w:val="0002362C"/>
    <w:rsid w:val="00054685"/>
    <w:rsid w:val="000721D9"/>
    <w:rsid w:val="000756A4"/>
    <w:rsid w:val="00081BB1"/>
    <w:rsid w:val="000825C5"/>
    <w:rsid w:val="00093DE5"/>
    <w:rsid w:val="00096E02"/>
    <w:rsid w:val="00097B21"/>
    <w:rsid w:val="00127F09"/>
    <w:rsid w:val="001404EF"/>
    <w:rsid w:val="00152D39"/>
    <w:rsid w:val="001851DE"/>
    <w:rsid w:val="0019001D"/>
    <w:rsid w:val="001B5BAF"/>
    <w:rsid w:val="001C5464"/>
    <w:rsid w:val="001D34C6"/>
    <w:rsid w:val="002038E5"/>
    <w:rsid w:val="00211A54"/>
    <w:rsid w:val="00223716"/>
    <w:rsid w:val="00225516"/>
    <w:rsid w:val="00255591"/>
    <w:rsid w:val="002557DD"/>
    <w:rsid w:val="00266B54"/>
    <w:rsid w:val="00280724"/>
    <w:rsid w:val="002964FD"/>
    <w:rsid w:val="00297595"/>
    <w:rsid w:val="002B76F5"/>
    <w:rsid w:val="002D1B21"/>
    <w:rsid w:val="002F17AD"/>
    <w:rsid w:val="002F39D7"/>
    <w:rsid w:val="00302E8F"/>
    <w:rsid w:val="00335307"/>
    <w:rsid w:val="003434C3"/>
    <w:rsid w:val="003538CB"/>
    <w:rsid w:val="00361795"/>
    <w:rsid w:val="00383E05"/>
    <w:rsid w:val="00390E54"/>
    <w:rsid w:val="003A3FAC"/>
    <w:rsid w:val="003D35BA"/>
    <w:rsid w:val="003F6C5B"/>
    <w:rsid w:val="0041648F"/>
    <w:rsid w:val="00441A0F"/>
    <w:rsid w:val="004605C3"/>
    <w:rsid w:val="00487D9C"/>
    <w:rsid w:val="00491ED9"/>
    <w:rsid w:val="004C4718"/>
    <w:rsid w:val="004C7A65"/>
    <w:rsid w:val="004F5F0E"/>
    <w:rsid w:val="00506EB6"/>
    <w:rsid w:val="00512B2D"/>
    <w:rsid w:val="00532AD2"/>
    <w:rsid w:val="0056489B"/>
    <w:rsid w:val="0058149F"/>
    <w:rsid w:val="00592524"/>
    <w:rsid w:val="005B46C2"/>
    <w:rsid w:val="005C3368"/>
    <w:rsid w:val="005E5ACA"/>
    <w:rsid w:val="005F365B"/>
    <w:rsid w:val="006076C0"/>
    <w:rsid w:val="00611E22"/>
    <w:rsid w:val="0063552A"/>
    <w:rsid w:val="006522D2"/>
    <w:rsid w:val="00654B5F"/>
    <w:rsid w:val="006729B8"/>
    <w:rsid w:val="00682AC5"/>
    <w:rsid w:val="006A24B9"/>
    <w:rsid w:val="006A3B85"/>
    <w:rsid w:val="006B1D47"/>
    <w:rsid w:val="006B55D4"/>
    <w:rsid w:val="006E4C1A"/>
    <w:rsid w:val="00705008"/>
    <w:rsid w:val="00706A25"/>
    <w:rsid w:val="00707CDA"/>
    <w:rsid w:val="007118D2"/>
    <w:rsid w:val="00721E00"/>
    <w:rsid w:val="007608D2"/>
    <w:rsid w:val="00762632"/>
    <w:rsid w:val="007C1D48"/>
    <w:rsid w:val="007D0FED"/>
    <w:rsid w:val="007F293B"/>
    <w:rsid w:val="007F4AEA"/>
    <w:rsid w:val="007F65F3"/>
    <w:rsid w:val="0081325F"/>
    <w:rsid w:val="00831918"/>
    <w:rsid w:val="00882BCD"/>
    <w:rsid w:val="008915F2"/>
    <w:rsid w:val="00892427"/>
    <w:rsid w:val="00893B8F"/>
    <w:rsid w:val="008B7E9F"/>
    <w:rsid w:val="008D4514"/>
    <w:rsid w:val="008D72DA"/>
    <w:rsid w:val="00906137"/>
    <w:rsid w:val="00915549"/>
    <w:rsid w:val="009414D8"/>
    <w:rsid w:val="00967158"/>
    <w:rsid w:val="00970DC5"/>
    <w:rsid w:val="0098051D"/>
    <w:rsid w:val="009B12FE"/>
    <w:rsid w:val="009C2817"/>
    <w:rsid w:val="009F2599"/>
    <w:rsid w:val="00A03A0E"/>
    <w:rsid w:val="00A10D90"/>
    <w:rsid w:val="00A21D60"/>
    <w:rsid w:val="00A27CF0"/>
    <w:rsid w:val="00A42BC1"/>
    <w:rsid w:val="00A47D2F"/>
    <w:rsid w:val="00A53363"/>
    <w:rsid w:val="00A67A1F"/>
    <w:rsid w:val="00A71E95"/>
    <w:rsid w:val="00A7719B"/>
    <w:rsid w:val="00A903DD"/>
    <w:rsid w:val="00AA6D03"/>
    <w:rsid w:val="00AB1053"/>
    <w:rsid w:val="00AB5810"/>
    <w:rsid w:val="00AC3464"/>
    <w:rsid w:val="00AD0B2D"/>
    <w:rsid w:val="00AD53D2"/>
    <w:rsid w:val="00AF5D30"/>
    <w:rsid w:val="00AF6E56"/>
    <w:rsid w:val="00B2718B"/>
    <w:rsid w:val="00B37B35"/>
    <w:rsid w:val="00B732C1"/>
    <w:rsid w:val="00BF7D6B"/>
    <w:rsid w:val="00C00FE3"/>
    <w:rsid w:val="00C176B2"/>
    <w:rsid w:val="00C202DD"/>
    <w:rsid w:val="00C2193B"/>
    <w:rsid w:val="00C25929"/>
    <w:rsid w:val="00C66222"/>
    <w:rsid w:val="00C77BA4"/>
    <w:rsid w:val="00C77D47"/>
    <w:rsid w:val="00C948CB"/>
    <w:rsid w:val="00C95098"/>
    <w:rsid w:val="00C957B8"/>
    <w:rsid w:val="00C96ABA"/>
    <w:rsid w:val="00CB5BDD"/>
    <w:rsid w:val="00CC1753"/>
    <w:rsid w:val="00CD56B5"/>
    <w:rsid w:val="00D038B8"/>
    <w:rsid w:val="00D07347"/>
    <w:rsid w:val="00D104E0"/>
    <w:rsid w:val="00D13667"/>
    <w:rsid w:val="00D2756B"/>
    <w:rsid w:val="00D5784E"/>
    <w:rsid w:val="00D7759D"/>
    <w:rsid w:val="00DA0C07"/>
    <w:rsid w:val="00DA27CF"/>
    <w:rsid w:val="00DA6509"/>
    <w:rsid w:val="00DC1EB7"/>
    <w:rsid w:val="00DD7AE3"/>
    <w:rsid w:val="00DE3AE6"/>
    <w:rsid w:val="00DE5AE5"/>
    <w:rsid w:val="00DF64DD"/>
    <w:rsid w:val="00E27CB2"/>
    <w:rsid w:val="00E40A15"/>
    <w:rsid w:val="00E44BD4"/>
    <w:rsid w:val="00E55AF9"/>
    <w:rsid w:val="00E82863"/>
    <w:rsid w:val="00EB5AFE"/>
    <w:rsid w:val="00EB6A2D"/>
    <w:rsid w:val="00ED50A4"/>
    <w:rsid w:val="00F02632"/>
    <w:rsid w:val="00F02F7D"/>
    <w:rsid w:val="00F11085"/>
    <w:rsid w:val="00F40993"/>
    <w:rsid w:val="00F55A35"/>
    <w:rsid w:val="00F566E0"/>
    <w:rsid w:val="00F70C8D"/>
    <w:rsid w:val="00F71056"/>
    <w:rsid w:val="00F85AB1"/>
    <w:rsid w:val="00F91A5B"/>
    <w:rsid w:val="00FA38D7"/>
    <w:rsid w:val="00FB1F86"/>
    <w:rsid w:val="00FC4655"/>
    <w:rsid w:val="00FC7E73"/>
    <w:rsid w:val="00FD21BF"/>
    <w:rsid w:val="00FE24E9"/>
    <w:rsid w:val="00FE2642"/>
    <w:rsid w:val="00FF39FF"/>
    <w:rsid w:val="00FF5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427"/>
  </w:style>
  <w:style w:type="paragraph" w:styleId="Footer">
    <w:name w:val="footer"/>
    <w:basedOn w:val="Normal"/>
    <w:link w:val="FooterChar"/>
    <w:uiPriority w:val="99"/>
    <w:unhideWhenUsed/>
    <w:rsid w:val="00892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427"/>
  </w:style>
  <w:style w:type="paragraph" w:customStyle="1" w:styleId="Default">
    <w:name w:val="Default"/>
    <w:rsid w:val="00DA0C0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B5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B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427"/>
  </w:style>
  <w:style w:type="paragraph" w:styleId="Footer">
    <w:name w:val="footer"/>
    <w:basedOn w:val="Normal"/>
    <w:link w:val="FooterChar"/>
    <w:uiPriority w:val="99"/>
    <w:unhideWhenUsed/>
    <w:rsid w:val="00892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427"/>
  </w:style>
  <w:style w:type="paragraph" w:customStyle="1" w:styleId="Default">
    <w:name w:val="Default"/>
    <w:rsid w:val="00DA0C0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B5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B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67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AppData\Local\Temp\Temp1_RE%20Re%5b8%5d%20I%20look%20forward%20to%20our%20next%20conversation%20-%20201608251118361.zip\Trinity-Digital-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2CC09-6ECC-4C67-8F15-A669F8F65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Trinity-Digital-Letterhead</Template>
  <TotalTime>8</TotalTime>
  <Pages>1</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4</cp:revision>
  <cp:lastPrinted>2019-05-13T16:00:00Z</cp:lastPrinted>
  <dcterms:created xsi:type="dcterms:W3CDTF">2019-07-05T21:05:00Z</dcterms:created>
  <dcterms:modified xsi:type="dcterms:W3CDTF">2019-07-08T14:51:00Z</dcterms:modified>
</cp:coreProperties>
</file>